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C06" w:rsidRPr="00ED67EC" w:rsidRDefault="00997C06" w:rsidP="00764D39">
      <w:pPr>
        <w:spacing w:line="240" w:lineRule="auto"/>
        <w:jc w:val="center"/>
        <w:rPr>
          <w:rFonts w:ascii="Times New Roman" w:hAnsi="Times New Roman" w:cs="Times New Roman"/>
          <w:b/>
          <w:sz w:val="24"/>
          <w:szCs w:val="24"/>
        </w:rPr>
      </w:pPr>
      <w:r w:rsidRPr="00ED67EC">
        <w:rPr>
          <w:rFonts w:ascii="Times New Roman" w:hAnsi="Times New Roman" w:cs="Times New Roman"/>
          <w:b/>
          <w:sz w:val="24"/>
          <w:szCs w:val="24"/>
        </w:rPr>
        <w:t>CONSELHO MUNICIPAL DE ASSISTÊNCIA SOCIAL</w:t>
      </w:r>
    </w:p>
    <w:p w:rsidR="00997C06" w:rsidRPr="00ED67EC" w:rsidRDefault="00CB54C9" w:rsidP="00764D39">
      <w:pPr>
        <w:pBdr>
          <w:bottom w:val="single" w:sz="12" w:space="1" w:color="auto"/>
        </w:pBdr>
        <w:spacing w:line="240" w:lineRule="auto"/>
        <w:jc w:val="center"/>
        <w:rPr>
          <w:rFonts w:ascii="Times New Roman" w:hAnsi="Times New Roman" w:cs="Times New Roman"/>
          <w:b/>
          <w:sz w:val="24"/>
          <w:szCs w:val="24"/>
        </w:rPr>
      </w:pPr>
      <w:r w:rsidRPr="00ED67EC">
        <w:rPr>
          <w:rFonts w:ascii="Times New Roman" w:hAnsi="Times New Roman" w:cs="Times New Roman"/>
          <w:b/>
          <w:sz w:val="24"/>
          <w:szCs w:val="24"/>
        </w:rPr>
        <w:t xml:space="preserve">Rua Coronel </w:t>
      </w:r>
      <w:r w:rsidR="00652C32" w:rsidRPr="00ED67EC">
        <w:rPr>
          <w:rFonts w:ascii="Times New Roman" w:hAnsi="Times New Roman" w:cs="Times New Roman"/>
          <w:b/>
          <w:sz w:val="24"/>
          <w:szCs w:val="24"/>
        </w:rPr>
        <w:t>Ovídio</w:t>
      </w:r>
      <w:r w:rsidRPr="00ED67EC">
        <w:rPr>
          <w:rFonts w:ascii="Times New Roman" w:hAnsi="Times New Roman" w:cs="Times New Roman"/>
          <w:b/>
          <w:sz w:val="24"/>
          <w:szCs w:val="24"/>
        </w:rPr>
        <w:t>, 508 – Santo Antônio – Batatais/SP</w:t>
      </w:r>
    </w:p>
    <w:p w:rsidR="00997C06" w:rsidRPr="00ED67EC" w:rsidRDefault="00997C06" w:rsidP="00764D39">
      <w:pPr>
        <w:spacing w:line="240" w:lineRule="auto"/>
        <w:rPr>
          <w:rFonts w:ascii="Times New Roman" w:hAnsi="Times New Roman" w:cs="Times New Roman"/>
          <w:b/>
          <w:sz w:val="24"/>
          <w:szCs w:val="24"/>
        </w:rPr>
      </w:pPr>
    </w:p>
    <w:p w:rsidR="00997C06" w:rsidRPr="00ED67EC" w:rsidRDefault="00EE2743" w:rsidP="00764D3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RESOLUÇÃO Nº 03</w:t>
      </w:r>
      <w:r w:rsidR="00584392" w:rsidRPr="00ED67EC">
        <w:rPr>
          <w:rFonts w:ascii="Times New Roman" w:hAnsi="Times New Roman" w:cs="Times New Roman"/>
          <w:b/>
          <w:sz w:val="24"/>
          <w:szCs w:val="24"/>
        </w:rPr>
        <w:t>/2020</w:t>
      </w:r>
    </w:p>
    <w:p w:rsidR="00584392" w:rsidRPr="00ED67EC" w:rsidRDefault="00584392" w:rsidP="00764D39">
      <w:pPr>
        <w:spacing w:line="240" w:lineRule="auto"/>
        <w:jc w:val="center"/>
        <w:rPr>
          <w:rFonts w:ascii="Times New Roman" w:hAnsi="Times New Roman" w:cs="Times New Roman"/>
          <w:b/>
          <w:sz w:val="24"/>
          <w:szCs w:val="24"/>
        </w:rPr>
      </w:pPr>
    </w:p>
    <w:p w:rsidR="00584392" w:rsidRPr="00ED67EC" w:rsidRDefault="00990E36" w:rsidP="00990E3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Dispões sobre a aprovação d</w:t>
      </w:r>
      <w:r w:rsidR="00584392" w:rsidRPr="00ED67EC">
        <w:rPr>
          <w:rFonts w:ascii="Times New Roman" w:hAnsi="Times New Roman" w:cs="Times New Roman"/>
          <w:b/>
          <w:sz w:val="24"/>
          <w:szCs w:val="24"/>
        </w:rPr>
        <w:t>a</w:t>
      </w:r>
      <w:r w:rsidR="00AE0BA8" w:rsidRPr="00ED67EC">
        <w:rPr>
          <w:rFonts w:ascii="Times New Roman" w:hAnsi="Times New Roman" w:cs="Times New Roman"/>
          <w:b/>
          <w:sz w:val="24"/>
          <w:szCs w:val="24"/>
        </w:rPr>
        <w:t xml:space="preserve"> </w:t>
      </w:r>
      <w:r w:rsidR="005C5F6B" w:rsidRPr="00ED67EC">
        <w:rPr>
          <w:rFonts w:ascii="Times New Roman" w:hAnsi="Times New Roman" w:cs="Times New Roman"/>
          <w:b/>
          <w:sz w:val="24"/>
          <w:szCs w:val="24"/>
        </w:rPr>
        <w:t>concessão de Benefícios E</w:t>
      </w:r>
      <w:r w:rsidR="00584392" w:rsidRPr="00ED67EC">
        <w:rPr>
          <w:rFonts w:ascii="Times New Roman" w:hAnsi="Times New Roman" w:cs="Times New Roman"/>
          <w:b/>
          <w:sz w:val="24"/>
          <w:szCs w:val="24"/>
        </w:rPr>
        <w:t xml:space="preserve">ventuais </w:t>
      </w:r>
      <w:r w:rsidR="00AE0BA8" w:rsidRPr="00ED67EC">
        <w:rPr>
          <w:rFonts w:ascii="Times New Roman" w:hAnsi="Times New Roman" w:cs="Times New Roman"/>
          <w:b/>
          <w:sz w:val="24"/>
          <w:szCs w:val="24"/>
        </w:rPr>
        <w:t>n</w:t>
      </w:r>
      <w:r w:rsidR="005C5F6B" w:rsidRPr="00ED67EC">
        <w:rPr>
          <w:rFonts w:ascii="Times New Roman" w:hAnsi="Times New Roman" w:cs="Times New Roman"/>
          <w:b/>
          <w:sz w:val="24"/>
          <w:szCs w:val="24"/>
        </w:rPr>
        <w:t xml:space="preserve">o âmbito da </w:t>
      </w:r>
      <w:r w:rsidR="00584392" w:rsidRPr="00ED67EC">
        <w:rPr>
          <w:rFonts w:ascii="Times New Roman" w:hAnsi="Times New Roman" w:cs="Times New Roman"/>
          <w:b/>
          <w:sz w:val="24"/>
          <w:szCs w:val="24"/>
        </w:rPr>
        <w:t>Politica Municipal de Assistência Social e dá outras providencias</w:t>
      </w:r>
      <w:r>
        <w:rPr>
          <w:rFonts w:ascii="Times New Roman" w:hAnsi="Times New Roman" w:cs="Times New Roman"/>
          <w:b/>
          <w:sz w:val="24"/>
          <w:szCs w:val="24"/>
        </w:rPr>
        <w:t>.</w:t>
      </w:r>
    </w:p>
    <w:p w:rsidR="00997C06" w:rsidRPr="00ED67EC" w:rsidRDefault="00997C06" w:rsidP="00764D39">
      <w:pPr>
        <w:spacing w:line="240" w:lineRule="auto"/>
        <w:jc w:val="center"/>
        <w:rPr>
          <w:rFonts w:ascii="Times New Roman" w:hAnsi="Times New Roman" w:cs="Times New Roman"/>
          <w:b/>
          <w:sz w:val="24"/>
          <w:szCs w:val="24"/>
        </w:rPr>
      </w:pPr>
    </w:p>
    <w:p w:rsidR="00584392" w:rsidRPr="00ED67EC" w:rsidRDefault="00997C06" w:rsidP="00764D39">
      <w:pPr>
        <w:spacing w:line="240" w:lineRule="auto"/>
        <w:jc w:val="both"/>
        <w:rPr>
          <w:rFonts w:ascii="Times New Roman" w:hAnsi="Times New Roman" w:cs="Times New Roman"/>
          <w:sz w:val="24"/>
          <w:szCs w:val="24"/>
        </w:rPr>
      </w:pPr>
      <w:r w:rsidRPr="00ED67EC">
        <w:rPr>
          <w:rFonts w:ascii="Times New Roman" w:hAnsi="Times New Roman" w:cs="Times New Roman"/>
          <w:sz w:val="24"/>
          <w:szCs w:val="24"/>
        </w:rPr>
        <w:t xml:space="preserve">O Plenário do Conselho Municipal de Assistência Social – CMAS, em Reunião </w:t>
      </w:r>
      <w:r w:rsidR="00584392" w:rsidRPr="00ED67EC">
        <w:rPr>
          <w:rFonts w:ascii="Times New Roman" w:hAnsi="Times New Roman" w:cs="Times New Roman"/>
          <w:sz w:val="24"/>
          <w:szCs w:val="24"/>
        </w:rPr>
        <w:t>Ordinária</w:t>
      </w:r>
      <w:r w:rsidR="00F61575" w:rsidRPr="00ED67EC">
        <w:rPr>
          <w:rFonts w:ascii="Times New Roman" w:hAnsi="Times New Roman" w:cs="Times New Roman"/>
          <w:sz w:val="24"/>
          <w:szCs w:val="24"/>
        </w:rPr>
        <w:t>, realizada no</w:t>
      </w:r>
      <w:r w:rsidR="00584392" w:rsidRPr="00ED67EC">
        <w:rPr>
          <w:rFonts w:ascii="Times New Roman" w:hAnsi="Times New Roman" w:cs="Times New Roman"/>
          <w:sz w:val="24"/>
          <w:szCs w:val="24"/>
        </w:rPr>
        <w:t xml:space="preserve"> dia 19 de maio de 2020</w:t>
      </w:r>
      <w:r w:rsidR="00CB54C9" w:rsidRPr="00ED67EC">
        <w:rPr>
          <w:rFonts w:ascii="Times New Roman" w:hAnsi="Times New Roman" w:cs="Times New Roman"/>
          <w:sz w:val="24"/>
          <w:szCs w:val="24"/>
        </w:rPr>
        <w:t xml:space="preserve">, às 08h30min, </w:t>
      </w:r>
      <w:r w:rsidR="00584392" w:rsidRPr="00ED67EC">
        <w:rPr>
          <w:rFonts w:ascii="Times New Roman" w:hAnsi="Times New Roman" w:cs="Times New Roman"/>
          <w:sz w:val="24"/>
          <w:szCs w:val="24"/>
        </w:rPr>
        <w:t>eventualmente, realizada na Sede da Fundação José Laz</w:t>
      </w:r>
      <w:r w:rsidR="00375BAF">
        <w:rPr>
          <w:rFonts w:ascii="Times New Roman" w:hAnsi="Times New Roman" w:cs="Times New Roman"/>
          <w:sz w:val="24"/>
          <w:szCs w:val="24"/>
        </w:rPr>
        <w:t>z</w:t>
      </w:r>
      <w:r w:rsidR="00584392" w:rsidRPr="00ED67EC">
        <w:rPr>
          <w:rFonts w:ascii="Times New Roman" w:hAnsi="Times New Roman" w:cs="Times New Roman"/>
          <w:sz w:val="24"/>
          <w:szCs w:val="24"/>
        </w:rPr>
        <w:t>arini devido à adequação de espaço físico, sito à Rua Vereador Alfeu Gasparini, 220 – Central Park, Batatais</w:t>
      </w:r>
      <w:r w:rsidR="00CB54C9" w:rsidRPr="00ED67EC">
        <w:rPr>
          <w:rFonts w:ascii="Times New Roman" w:hAnsi="Times New Roman" w:cs="Times New Roman"/>
          <w:sz w:val="24"/>
          <w:szCs w:val="24"/>
        </w:rPr>
        <w:t>, Estado de São Paulo</w:t>
      </w:r>
      <w:r w:rsidRPr="00ED67EC">
        <w:rPr>
          <w:rFonts w:ascii="Times New Roman" w:hAnsi="Times New Roman" w:cs="Times New Roman"/>
          <w:sz w:val="24"/>
          <w:szCs w:val="24"/>
        </w:rPr>
        <w:t>, no uso de suas competências regimentais e atribuições conferidas pela Lei Federal nº 8.742, de 13 de dezembro de 1993, Lei Municipal nº 2.100, de 12 de setembro de 1.995, modificada pela Lei nº2.390, de 25 de fevereiro de 1.9</w:t>
      </w:r>
      <w:r w:rsidR="00AE0BA8" w:rsidRPr="00ED67EC">
        <w:rPr>
          <w:rFonts w:ascii="Times New Roman" w:hAnsi="Times New Roman" w:cs="Times New Roman"/>
          <w:sz w:val="24"/>
          <w:szCs w:val="24"/>
        </w:rPr>
        <w:t>99, pelo seu Regimento Interno, e,</w:t>
      </w:r>
    </w:p>
    <w:p w:rsidR="00AE0BA8" w:rsidRPr="00ED67EC" w:rsidRDefault="00AE0BA8" w:rsidP="00764D39">
      <w:pPr>
        <w:spacing w:line="240" w:lineRule="auto"/>
        <w:jc w:val="both"/>
        <w:rPr>
          <w:rFonts w:ascii="Times New Roman" w:eastAsia="Times New Roman" w:hAnsi="Times New Roman" w:cs="Times New Roman"/>
          <w:sz w:val="24"/>
          <w:szCs w:val="24"/>
          <w:lang w:eastAsia="pt-BR"/>
        </w:rPr>
      </w:pPr>
      <w:r w:rsidRPr="00ED67EC">
        <w:rPr>
          <w:rFonts w:ascii="Times New Roman" w:hAnsi="Times New Roman" w:cs="Times New Roman"/>
          <w:sz w:val="24"/>
          <w:szCs w:val="24"/>
        </w:rPr>
        <w:t>Considerando: Que os</w:t>
      </w:r>
      <w:r w:rsidRPr="00ED67EC">
        <w:rPr>
          <w:rFonts w:ascii="Times New Roman" w:eastAsia="Times New Roman" w:hAnsi="Times New Roman" w:cs="Times New Roman"/>
          <w:sz w:val="24"/>
          <w:szCs w:val="24"/>
          <w:lang w:eastAsia="pt-BR"/>
        </w:rPr>
        <w:t xml:space="preserve"> Benefícios Eventuais estão previstos pela Lei Orgânica de Assistência Social (LOAS) e deverão ser oferecidos pelo município de Batatais aos cidadãos e às suas famílias que não têm condições de arcar por conta própria com o enfrentamento de situações adversas ou que fragilize a manutenção do cidadão e sua família</w:t>
      </w:r>
      <w:r w:rsidR="00D8039E" w:rsidRPr="00ED67EC">
        <w:rPr>
          <w:rFonts w:ascii="Times New Roman" w:eastAsia="Times New Roman" w:hAnsi="Times New Roman" w:cs="Times New Roman"/>
          <w:sz w:val="24"/>
          <w:szCs w:val="24"/>
          <w:lang w:eastAsia="pt-BR"/>
        </w:rPr>
        <w:t>.</w:t>
      </w:r>
    </w:p>
    <w:p w:rsidR="00AE0BA8" w:rsidRPr="00ED67EC" w:rsidRDefault="00AE0BA8" w:rsidP="00764D39">
      <w:pPr>
        <w:spacing w:line="240" w:lineRule="auto"/>
        <w:jc w:val="both"/>
        <w:rPr>
          <w:rFonts w:ascii="Times New Roman" w:hAnsi="Times New Roman" w:cs="Times New Roman"/>
          <w:sz w:val="24"/>
          <w:szCs w:val="24"/>
        </w:rPr>
      </w:pPr>
      <w:r w:rsidRPr="00ED67EC">
        <w:rPr>
          <w:rFonts w:ascii="Times New Roman" w:eastAsia="Times New Roman" w:hAnsi="Times New Roman" w:cs="Times New Roman"/>
          <w:sz w:val="24"/>
          <w:szCs w:val="24"/>
          <w:lang w:eastAsia="pt-BR"/>
        </w:rPr>
        <w:t>Considerando: Que os</w:t>
      </w:r>
      <w:r w:rsidRPr="00ED67EC">
        <w:rPr>
          <w:rFonts w:ascii="Times New Roman" w:hAnsi="Times New Roman" w:cs="Times New Roman"/>
          <w:sz w:val="24"/>
          <w:szCs w:val="24"/>
        </w:rPr>
        <w:t xml:space="preserve"> benefícios eventuais consistem em uma modalidade de provisão da proteção social de caráter suplementar e provisório que integra organicamente as garantias do Sistema Único de Assistência Social – SUAS, sendo fundamentada nos princípios de cidadania e dignidade da pessoa humana e prestada aos cidadãos razão de nascimento, morte, situações de vulnerabilidade temporária e calamidade pública</w:t>
      </w:r>
      <w:r w:rsidR="00D8039E" w:rsidRPr="00ED67EC">
        <w:rPr>
          <w:rFonts w:ascii="Times New Roman" w:hAnsi="Times New Roman" w:cs="Times New Roman"/>
          <w:sz w:val="24"/>
          <w:szCs w:val="24"/>
        </w:rPr>
        <w:t>.</w:t>
      </w:r>
      <w:r w:rsidRPr="00ED67EC">
        <w:rPr>
          <w:rFonts w:ascii="Times New Roman" w:hAnsi="Times New Roman" w:cs="Times New Roman"/>
          <w:sz w:val="24"/>
          <w:szCs w:val="24"/>
        </w:rPr>
        <w:t xml:space="preserve"> </w:t>
      </w:r>
    </w:p>
    <w:p w:rsidR="00AE0BA8" w:rsidRPr="00ED67EC" w:rsidRDefault="00AE0BA8" w:rsidP="00764D39">
      <w:pPr>
        <w:spacing w:line="240" w:lineRule="auto"/>
        <w:jc w:val="both"/>
        <w:rPr>
          <w:rFonts w:ascii="Times New Roman" w:hAnsi="Times New Roman" w:cs="Times New Roman"/>
          <w:sz w:val="24"/>
          <w:szCs w:val="24"/>
        </w:rPr>
      </w:pPr>
      <w:r w:rsidRPr="00ED67EC">
        <w:rPr>
          <w:rFonts w:ascii="Times New Roman" w:eastAsia="Times New Roman" w:hAnsi="Times New Roman" w:cs="Times New Roman"/>
          <w:sz w:val="24"/>
          <w:szCs w:val="24"/>
          <w:lang w:eastAsia="pt-BR"/>
        </w:rPr>
        <w:t>Considerando: Que os</w:t>
      </w:r>
      <w:r w:rsidRPr="00ED67EC">
        <w:rPr>
          <w:rFonts w:ascii="Times New Roman" w:hAnsi="Times New Roman" w:cs="Times New Roman"/>
          <w:sz w:val="24"/>
          <w:szCs w:val="24"/>
        </w:rPr>
        <w:t xml:space="preserve"> benefícios eventuais se destinam aos cidadãos e às famílias com impossibilidade de arcar por conta própria com o enfrentamento de contingências sociais, cuja ocorrência provoca riscos e fragiliza a manutenção do indivíduo, a unidade da família e a sobrevivênc</w:t>
      </w:r>
      <w:r w:rsidR="00D8039E" w:rsidRPr="00ED67EC">
        <w:rPr>
          <w:rFonts w:ascii="Times New Roman" w:hAnsi="Times New Roman" w:cs="Times New Roman"/>
          <w:sz w:val="24"/>
          <w:szCs w:val="24"/>
        </w:rPr>
        <w:t>ia de seus membros.</w:t>
      </w:r>
    </w:p>
    <w:p w:rsidR="00AE0BA8" w:rsidRPr="00ED67EC" w:rsidRDefault="00AE0BA8" w:rsidP="00764D39">
      <w:pPr>
        <w:spacing w:line="240" w:lineRule="auto"/>
        <w:jc w:val="both"/>
        <w:rPr>
          <w:rFonts w:ascii="Times New Roman" w:hAnsi="Times New Roman" w:cs="Times New Roman"/>
          <w:sz w:val="24"/>
          <w:szCs w:val="24"/>
        </w:rPr>
      </w:pPr>
      <w:r w:rsidRPr="00ED67EC">
        <w:rPr>
          <w:rFonts w:ascii="Times New Roman" w:hAnsi="Times New Roman" w:cs="Times New Roman"/>
          <w:sz w:val="24"/>
          <w:szCs w:val="24"/>
        </w:rPr>
        <w:t>Considerando: A apresentação por Técnico da Secretaria Municipal de Assistência Social</w:t>
      </w:r>
      <w:r w:rsidR="006A3E96" w:rsidRPr="00ED67EC">
        <w:rPr>
          <w:rFonts w:ascii="Times New Roman" w:hAnsi="Times New Roman" w:cs="Times New Roman"/>
          <w:sz w:val="24"/>
          <w:szCs w:val="24"/>
        </w:rPr>
        <w:t xml:space="preserve"> e Cidadania</w:t>
      </w:r>
      <w:r w:rsidRPr="00ED67EC">
        <w:rPr>
          <w:rFonts w:ascii="Times New Roman" w:hAnsi="Times New Roman" w:cs="Times New Roman"/>
          <w:sz w:val="24"/>
          <w:szCs w:val="24"/>
        </w:rPr>
        <w:t xml:space="preserve"> q</w:t>
      </w:r>
      <w:r w:rsidR="00D8039E" w:rsidRPr="00ED67EC">
        <w:rPr>
          <w:rFonts w:ascii="Times New Roman" w:hAnsi="Times New Roman" w:cs="Times New Roman"/>
          <w:sz w:val="24"/>
          <w:szCs w:val="24"/>
        </w:rPr>
        <w:t>uanto ao estudo de implantação.</w:t>
      </w:r>
    </w:p>
    <w:p w:rsidR="00997C06" w:rsidRPr="00ED67EC" w:rsidRDefault="00AE0BA8" w:rsidP="00764D39">
      <w:pPr>
        <w:spacing w:line="240" w:lineRule="auto"/>
        <w:jc w:val="both"/>
        <w:rPr>
          <w:rFonts w:ascii="Times New Roman" w:hAnsi="Times New Roman" w:cs="Times New Roman"/>
          <w:sz w:val="24"/>
          <w:szCs w:val="24"/>
        </w:rPr>
      </w:pPr>
      <w:r w:rsidRPr="00ED67EC">
        <w:rPr>
          <w:rFonts w:ascii="Times New Roman" w:hAnsi="Times New Roman" w:cs="Times New Roman"/>
          <w:sz w:val="24"/>
          <w:szCs w:val="24"/>
        </w:rPr>
        <w:t xml:space="preserve"> </w:t>
      </w:r>
      <w:r w:rsidR="00997C06" w:rsidRPr="00ED67EC">
        <w:rPr>
          <w:rFonts w:ascii="Times New Roman" w:hAnsi="Times New Roman" w:cs="Times New Roman"/>
          <w:sz w:val="24"/>
          <w:szCs w:val="24"/>
        </w:rPr>
        <w:t>RESOLVE:</w:t>
      </w:r>
    </w:p>
    <w:p w:rsidR="006A3E96" w:rsidRPr="00ED67EC" w:rsidRDefault="00375BAF" w:rsidP="00764D39">
      <w:pPr>
        <w:spacing w:line="240" w:lineRule="auto"/>
        <w:jc w:val="both"/>
        <w:rPr>
          <w:rFonts w:ascii="Times New Roman" w:hAnsi="Times New Roman" w:cs="Times New Roman"/>
          <w:sz w:val="24"/>
          <w:szCs w:val="24"/>
        </w:rPr>
      </w:pPr>
      <w:r>
        <w:rPr>
          <w:rFonts w:ascii="Times New Roman" w:hAnsi="Times New Roman" w:cs="Times New Roman"/>
          <w:sz w:val="24"/>
          <w:szCs w:val="24"/>
        </w:rPr>
        <w:t>Art.</w:t>
      </w:r>
      <w:r w:rsidR="00997C06" w:rsidRPr="00ED67EC">
        <w:rPr>
          <w:rFonts w:ascii="Times New Roman" w:hAnsi="Times New Roman" w:cs="Times New Roman"/>
          <w:sz w:val="24"/>
          <w:szCs w:val="24"/>
        </w:rPr>
        <w:t xml:space="preserve"> 1º</w:t>
      </w:r>
      <w:r w:rsidR="00B97DA7" w:rsidRPr="00ED67EC">
        <w:rPr>
          <w:rFonts w:ascii="Times New Roman" w:hAnsi="Times New Roman" w:cs="Times New Roman"/>
          <w:sz w:val="24"/>
          <w:szCs w:val="24"/>
        </w:rPr>
        <w:t xml:space="preserve"> -</w:t>
      </w:r>
      <w:r w:rsidR="00997C06" w:rsidRPr="00ED67EC">
        <w:rPr>
          <w:rFonts w:ascii="Times New Roman" w:hAnsi="Times New Roman" w:cs="Times New Roman"/>
          <w:sz w:val="24"/>
          <w:szCs w:val="24"/>
        </w:rPr>
        <w:t xml:space="preserve"> </w:t>
      </w:r>
      <w:r w:rsidR="00584392" w:rsidRPr="00ED67EC">
        <w:rPr>
          <w:rFonts w:ascii="Times New Roman" w:hAnsi="Times New Roman" w:cs="Times New Roman"/>
          <w:sz w:val="24"/>
          <w:szCs w:val="24"/>
        </w:rPr>
        <w:t xml:space="preserve">Aprovar por unanimidade </w:t>
      </w:r>
      <w:r w:rsidR="006A3E96" w:rsidRPr="00ED67EC">
        <w:rPr>
          <w:rFonts w:ascii="Times New Roman" w:hAnsi="Times New Roman" w:cs="Times New Roman"/>
          <w:sz w:val="24"/>
          <w:szCs w:val="24"/>
        </w:rPr>
        <w:t xml:space="preserve">a concessão de Benefícios Eventuais no âmbito do município de Batatais, sendo </w:t>
      </w:r>
      <w:r w:rsidR="00D8039E" w:rsidRPr="00ED67EC">
        <w:rPr>
          <w:rFonts w:ascii="Times New Roman" w:hAnsi="Times New Roman" w:cs="Times New Roman"/>
          <w:sz w:val="24"/>
          <w:szCs w:val="24"/>
        </w:rPr>
        <w:t xml:space="preserve">que </w:t>
      </w:r>
      <w:r w:rsidR="006A3E96" w:rsidRPr="00ED67EC">
        <w:rPr>
          <w:rFonts w:ascii="Times New Roman" w:hAnsi="Times New Roman" w:cs="Times New Roman"/>
          <w:sz w:val="24"/>
          <w:szCs w:val="24"/>
        </w:rPr>
        <w:t>os mesmos</w:t>
      </w:r>
      <w:r w:rsidR="000D4A7B" w:rsidRPr="00ED67EC">
        <w:rPr>
          <w:rFonts w:ascii="Times New Roman" w:hAnsi="Times New Roman" w:cs="Times New Roman"/>
          <w:sz w:val="24"/>
          <w:szCs w:val="24"/>
        </w:rPr>
        <w:t xml:space="preserve"> serão</w:t>
      </w:r>
      <w:r w:rsidR="006A3E96" w:rsidRPr="00ED67EC">
        <w:rPr>
          <w:rFonts w:ascii="Times New Roman" w:hAnsi="Times New Roman" w:cs="Times New Roman"/>
          <w:sz w:val="24"/>
          <w:szCs w:val="24"/>
        </w:rPr>
        <w:t xml:space="preserve"> gestados e concedi</w:t>
      </w:r>
      <w:r w:rsidR="000D4A7B" w:rsidRPr="00ED67EC">
        <w:rPr>
          <w:rFonts w:ascii="Times New Roman" w:hAnsi="Times New Roman" w:cs="Times New Roman"/>
          <w:sz w:val="24"/>
          <w:szCs w:val="24"/>
        </w:rPr>
        <w:t>dos pela S</w:t>
      </w:r>
      <w:r w:rsidR="006A3E96" w:rsidRPr="00ED67EC">
        <w:rPr>
          <w:rFonts w:ascii="Times New Roman" w:hAnsi="Times New Roman" w:cs="Times New Roman"/>
          <w:sz w:val="24"/>
          <w:szCs w:val="24"/>
        </w:rPr>
        <w:t xml:space="preserve">ecretaria Municipal da Assistência Social e Cidadania. </w:t>
      </w:r>
    </w:p>
    <w:p w:rsidR="006A3E96" w:rsidRPr="00ED67EC" w:rsidRDefault="006A3E96" w:rsidP="006A3E96">
      <w:pPr>
        <w:spacing w:before="130"/>
        <w:ind w:right="34"/>
        <w:jc w:val="both"/>
        <w:rPr>
          <w:rFonts w:ascii="Times New Roman" w:eastAsia="Times New Roman" w:hAnsi="Times New Roman" w:cs="Times New Roman"/>
          <w:sz w:val="24"/>
          <w:szCs w:val="24"/>
          <w:lang w:eastAsia="pt-BR"/>
        </w:rPr>
      </w:pPr>
      <w:r w:rsidRPr="00ED67EC">
        <w:rPr>
          <w:rFonts w:ascii="Times New Roman" w:eastAsia="Times New Roman" w:hAnsi="Times New Roman" w:cs="Times New Roman"/>
          <w:sz w:val="24"/>
          <w:szCs w:val="24"/>
          <w:lang w:eastAsia="pt-BR"/>
        </w:rPr>
        <w:t>Parágrafo único - As provisões relativas a programas, projetos, serviços e benefícios diretamente vinculados ao campo da saúde, educação, integração nacional e das demais políticas setoriais não se incluem na modalidade de benefícios eventuais da assistência social, devendo ser atendidos pelas respectivas políticas. </w:t>
      </w:r>
    </w:p>
    <w:p w:rsidR="006A3E96" w:rsidRPr="00ED67EC" w:rsidRDefault="006A3E96" w:rsidP="006A3E96">
      <w:pPr>
        <w:spacing w:before="144"/>
        <w:ind w:right="10"/>
        <w:jc w:val="both"/>
        <w:rPr>
          <w:rFonts w:ascii="Times New Roman" w:hAnsi="Times New Roman" w:cs="Times New Roman"/>
          <w:sz w:val="24"/>
          <w:szCs w:val="24"/>
        </w:rPr>
      </w:pPr>
      <w:r w:rsidRPr="00ED67EC">
        <w:rPr>
          <w:rFonts w:ascii="Times New Roman" w:eastAsia="Times New Roman" w:hAnsi="Times New Roman" w:cs="Times New Roman"/>
          <w:sz w:val="24"/>
          <w:szCs w:val="24"/>
          <w:lang w:eastAsia="pt-BR"/>
        </w:rPr>
        <w:lastRenderedPageBreak/>
        <w:t xml:space="preserve">Art. </w:t>
      </w:r>
      <w:r w:rsidR="000D4A7B" w:rsidRPr="00ED67EC">
        <w:rPr>
          <w:rFonts w:ascii="Times New Roman" w:eastAsia="Times New Roman" w:hAnsi="Times New Roman" w:cs="Times New Roman"/>
          <w:sz w:val="24"/>
          <w:szCs w:val="24"/>
          <w:lang w:eastAsia="pt-BR"/>
        </w:rPr>
        <w:t>2</w:t>
      </w:r>
      <w:r w:rsidRPr="00ED67EC">
        <w:rPr>
          <w:rFonts w:ascii="Times New Roman" w:eastAsia="Times New Roman" w:hAnsi="Times New Roman" w:cs="Times New Roman"/>
          <w:sz w:val="24"/>
          <w:szCs w:val="24"/>
          <w:lang w:eastAsia="pt-BR"/>
        </w:rPr>
        <w:t>º</w:t>
      </w:r>
      <w:r w:rsidRPr="00ED67EC">
        <w:rPr>
          <w:rFonts w:ascii="Times New Roman" w:eastAsia="Times New Roman" w:hAnsi="Times New Roman" w:cs="Times New Roman"/>
          <w:b/>
          <w:sz w:val="24"/>
          <w:szCs w:val="24"/>
          <w:lang w:eastAsia="pt-BR"/>
        </w:rPr>
        <w:t xml:space="preserve"> -</w:t>
      </w:r>
      <w:r w:rsidRPr="00ED67EC">
        <w:rPr>
          <w:rFonts w:ascii="Times New Roman" w:eastAsia="Times New Roman" w:hAnsi="Times New Roman" w:cs="Times New Roman"/>
          <w:sz w:val="24"/>
          <w:szCs w:val="24"/>
          <w:lang w:eastAsia="pt-BR"/>
        </w:rPr>
        <w:t xml:space="preserve"> </w:t>
      </w:r>
      <w:r w:rsidRPr="00ED67EC">
        <w:rPr>
          <w:rFonts w:ascii="Times New Roman" w:hAnsi="Times New Roman" w:cs="Times New Roman"/>
          <w:sz w:val="24"/>
          <w:szCs w:val="24"/>
        </w:rPr>
        <w:t xml:space="preserve">A concessão de Benefícios Eventuais deve atender aos seguintes princípios: </w:t>
      </w:r>
    </w:p>
    <w:p w:rsidR="006A3E96" w:rsidRPr="00ED67EC" w:rsidRDefault="006A3E96" w:rsidP="006A3E96">
      <w:pPr>
        <w:numPr>
          <w:ilvl w:val="0"/>
          <w:numId w:val="2"/>
        </w:numPr>
        <w:spacing w:before="144" w:after="0" w:line="240" w:lineRule="auto"/>
        <w:ind w:left="1276" w:right="10"/>
        <w:jc w:val="both"/>
        <w:rPr>
          <w:rFonts w:ascii="Times New Roman" w:hAnsi="Times New Roman" w:cs="Times New Roman"/>
          <w:sz w:val="24"/>
          <w:szCs w:val="24"/>
        </w:rPr>
      </w:pPr>
      <w:r w:rsidRPr="00ED67EC">
        <w:rPr>
          <w:rFonts w:ascii="Times New Roman" w:hAnsi="Times New Roman" w:cs="Times New Roman"/>
          <w:sz w:val="24"/>
          <w:szCs w:val="24"/>
        </w:rPr>
        <w:t>Integração</w:t>
      </w:r>
      <w:r w:rsidR="008820E9">
        <w:rPr>
          <w:rFonts w:ascii="Times New Roman" w:hAnsi="Times New Roman" w:cs="Times New Roman"/>
          <w:sz w:val="24"/>
          <w:szCs w:val="24"/>
        </w:rPr>
        <w:t xml:space="preserve"> à rede de serviços </w:t>
      </w:r>
      <w:proofErr w:type="spellStart"/>
      <w:r w:rsidR="008820E9">
        <w:rPr>
          <w:rFonts w:ascii="Times New Roman" w:hAnsi="Times New Roman" w:cs="Times New Roman"/>
          <w:sz w:val="24"/>
          <w:szCs w:val="24"/>
        </w:rPr>
        <w:t>socioassiste</w:t>
      </w:r>
      <w:r w:rsidRPr="00ED67EC">
        <w:rPr>
          <w:rFonts w:ascii="Times New Roman" w:hAnsi="Times New Roman" w:cs="Times New Roman"/>
          <w:sz w:val="24"/>
          <w:szCs w:val="24"/>
        </w:rPr>
        <w:t>nciais</w:t>
      </w:r>
      <w:proofErr w:type="spellEnd"/>
      <w:r w:rsidRPr="00ED67EC">
        <w:rPr>
          <w:rFonts w:ascii="Times New Roman" w:hAnsi="Times New Roman" w:cs="Times New Roman"/>
          <w:sz w:val="24"/>
          <w:szCs w:val="24"/>
        </w:rPr>
        <w:t xml:space="preserve">, com vistas ao atendimento das necessidades humanas básicas; </w:t>
      </w:r>
    </w:p>
    <w:p w:rsidR="006A3E96" w:rsidRPr="00ED67EC" w:rsidRDefault="006A3E96" w:rsidP="006A3E96">
      <w:pPr>
        <w:numPr>
          <w:ilvl w:val="0"/>
          <w:numId w:val="2"/>
        </w:numPr>
        <w:spacing w:before="144" w:after="0" w:line="240" w:lineRule="auto"/>
        <w:ind w:left="1276" w:right="10"/>
        <w:jc w:val="both"/>
        <w:rPr>
          <w:rFonts w:ascii="Times New Roman" w:hAnsi="Times New Roman" w:cs="Times New Roman"/>
          <w:sz w:val="24"/>
          <w:szCs w:val="24"/>
        </w:rPr>
      </w:pPr>
      <w:r w:rsidRPr="00ED67EC">
        <w:rPr>
          <w:rFonts w:ascii="Times New Roman" w:hAnsi="Times New Roman" w:cs="Times New Roman"/>
          <w:sz w:val="24"/>
          <w:szCs w:val="24"/>
        </w:rPr>
        <w:t>Constituição de provisão certa para enfrentar com agilidade e presteza eventos incertos;</w:t>
      </w:r>
    </w:p>
    <w:p w:rsidR="006A3E96" w:rsidRPr="00ED67EC" w:rsidRDefault="006A3E96" w:rsidP="006A3E96">
      <w:pPr>
        <w:numPr>
          <w:ilvl w:val="0"/>
          <w:numId w:val="2"/>
        </w:numPr>
        <w:tabs>
          <w:tab w:val="left" w:pos="851"/>
        </w:tabs>
        <w:spacing w:before="144" w:after="0" w:line="240" w:lineRule="auto"/>
        <w:ind w:left="1276" w:right="10"/>
        <w:jc w:val="both"/>
        <w:rPr>
          <w:rFonts w:ascii="Times New Roman" w:hAnsi="Times New Roman" w:cs="Times New Roman"/>
          <w:sz w:val="24"/>
          <w:szCs w:val="24"/>
        </w:rPr>
      </w:pPr>
      <w:r w:rsidRPr="00ED67EC">
        <w:rPr>
          <w:rFonts w:ascii="Times New Roman" w:hAnsi="Times New Roman" w:cs="Times New Roman"/>
          <w:sz w:val="24"/>
          <w:szCs w:val="24"/>
        </w:rPr>
        <w:t xml:space="preserve">Proibição de subordinação a contribuições prévias e de vinculação a contrapartidas; </w:t>
      </w:r>
    </w:p>
    <w:p w:rsidR="006A3E96" w:rsidRPr="00ED67EC" w:rsidRDefault="006A3E96" w:rsidP="006A3E96">
      <w:pPr>
        <w:numPr>
          <w:ilvl w:val="0"/>
          <w:numId w:val="2"/>
        </w:numPr>
        <w:spacing w:before="144" w:after="0" w:line="240" w:lineRule="auto"/>
        <w:ind w:left="1276" w:right="10"/>
        <w:jc w:val="both"/>
        <w:rPr>
          <w:rFonts w:ascii="Times New Roman" w:hAnsi="Times New Roman" w:cs="Times New Roman"/>
          <w:sz w:val="24"/>
          <w:szCs w:val="24"/>
        </w:rPr>
      </w:pPr>
      <w:r w:rsidRPr="00ED67EC">
        <w:rPr>
          <w:rFonts w:ascii="Times New Roman" w:hAnsi="Times New Roman" w:cs="Times New Roman"/>
          <w:sz w:val="24"/>
          <w:szCs w:val="24"/>
        </w:rPr>
        <w:t>Adoção de critérios de elegibilidade em consonância com a Política Nacional de Assistência Social - PNAS;</w:t>
      </w:r>
    </w:p>
    <w:p w:rsidR="006A3E96" w:rsidRPr="00ED67EC" w:rsidRDefault="006A3E96" w:rsidP="006A3E96">
      <w:pPr>
        <w:numPr>
          <w:ilvl w:val="0"/>
          <w:numId w:val="2"/>
        </w:numPr>
        <w:spacing w:before="144" w:after="0" w:line="240" w:lineRule="auto"/>
        <w:ind w:left="1276" w:right="10"/>
        <w:jc w:val="both"/>
        <w:rPr>
          <w:rFonts w:ascii="Times New Roman" w:hAnsi="Times New Roman" w:cs="Times New Roman"/>
          <w:sz w:val="24"/>
          <w:szCs w:val="24"/>
        </w:rPr>
      </w:pPr>
      <w:r w:rsidRPr="00ED67EC">
        <w:rPr>
          <w:rFonts w:ascii="Times New Roman" w:hAnsi="Times New Roman" w:cs="Times New Roman"/>
          <w:sz w:val="24"/>
          <w:szCs w:val="24"/>
        </w:rPr>
        <w:t xml:space="preserve">Garantia de qualidade e prontidão de respostas aos usuários, bem como de espaços para manifestação e defesa de seus direitos; </w:t>
      </w:r>
    </w:p>
    <w:p w:rsidR="006A3E96" w:rsidRPr="00ED67EC" w:rsidRDefault="006A3E96" w:rsidP="006A3E96">
      <w:pPr>
        <w:numPr>
          <w:ilvl w:val="0"/>
          <w:numId w:val="2"/>
        </w:numPr>
        <w:spacing w:before="144" w:after="0" w:line="240" w:lineRule="auto"/>
        <w:ind w:left="1276" w:right="10"/>
        <w:jc w:val="both"/>
        <w:rPr>
          <w:rFonts w:ascii="Times New Roman" w:hAnsi="Times New Roman" w:cs="Times New Roman"/>
          <w:sz w:val="24"/>
          <w:szCs w:val="24"/>
        </w:rPr>
      </w:pPr>
      <w:r w:rsidRPr="00ED67EC">
        <w:rPr>
          <w:rFonts w:ascii="Times New Roman" w:hAnsi="Times New Roman" w:cs="Times New Roman"/>
          <w:sz w:val="24"/>
          <w:szCs w:val="24"/>
        </w:rPr>
        <w:t>Garantia de igualdade de condições no acesso às informações e à fruição do benefício eventual;</w:t>
      </w:r>
    </w:p>
    <w:p w:rsidR="006A3E96" w:rsidRPr="00ED67EC" w:rsidRDefault="006A3E96" w:rsidP="006A3E96">
      <w:pPr>
        <w:numPr>
          <w:ilvl w:val="0"/>
          <w:numId w:val="2"/>
        </w:numPr>
        <w:spacing w:before="144" w:after="0" w:line="240" w:lineRule="auto"/>
        <w:ind w:left="1276" w:right="10"/>
        <w:jc w:val="both"/>
        <w:rPr>
          <w:rFonts w:ascii="Times New Roman" w:hAnsi="Times New Roman" w:cs="Times New Roman"/>
          <w:sz w:val="24"/>
          <w:szCs w:val="24"/>
        </w:rPr>
      </w:pPr>
      <w:r w:rsidRPr="00ED67EC">
        <w:rPr>
          <w:rFonts w:ascii="Times New Roman" w:hAnsi="Times New Roman" w:cs="Times New Roman"/>
          <w:sz w:val="24"/>
          <w:szCs w:val="24"/>
        </w:rPr>
        <w:t xml:space="preserve">Afirmação dos benefícios eventuais como direito relativo à cidadania; </w:t>
      </w:r>
    </w:p>
    <w:p w:rsidR="006A3E96" w:rsidRPr="00ED67EC" w:rsidRDefault="006A3E96" w:rsidP="006A3E96">
      <w:pPr>
        <w:numPr>
          <w:ilvl w:val="0"/>
          <w:numId w:val="2"/>
        </w:numPr>
        <w:spacing w:before="144" w:after="0" w:line="240" w:lineRule="auto"/>
        <w:ind w:left="1276" w:right="10"/>
        <w:jc w:val="both"/>
        <w:rPr>
          <w:rFonts w:ascii="Times New Roman" w:hAnsi="Times New Roman" w:cs="Times New Roman"/>
          <w:sz w:val="24"/>
          <w:szCs w:val="24"/>
        </w:rPr>
      </w:pPr>
      <w:r w:rsidRPr="00ED67EC">
        <w:rPr>
          <w:rFonts w:ascii="Times New Roman" w:hAnsi="Times New Roman" w:cs="Times New Roman"/>
          <w:sz w:val="24"/>
          <w:szCs w:val="24"/>
        </w:rPr>
        <w:t xml:space="preserve">Ampla divulgação dos critérios para a sua concessão; </w:t>
      </w:r>
    </w:p>
    <w:p w:rsidR="006A3E96" w:rsidRPr="00ED67EC" w:rsidRDefault="006A3E96" w:rsidP="006A3E96">
      <w:pPr>
        <w:numPr>
          <w:ilvl w:val="0"/>
          <w:numId w:val="2"/>
        </w:numPr>
        <w:spacing w:before="144" w:after="0" w:line="240" w:lineRule="auto"/>
        <w:ind w:left="1276" w:right="10"/>
        <w:jc w:val="both"/>
        <w:rPr>
          <w:rFonts w:ascii="Times New Roman" w:hAnsi="Times New Roman" w:cs="Times New Roman"/>
          <w:sz w:val="24"/>
          <w:szCs w:val="24"/>
        </w:rPr>
      </w:pPr>
      <w:r w:rsidRPr="00ED67EC">
        <w:rPr>
          <w:rFonts w:ascii="Times New Roman" w:hAnsi="Times New Roman" w:cs="Times New Roman"/>
          <w:sz w:val="24"/>
          <w:szCs w:val="24"/>
        </w:rPr>
        <w:t>Desvinculação de comprovações complexas e vexatórias de pobreza, que estigmatizam os benefícios, os beneficiários e a política de assistência social.</w:t>
      </w:r>
    </w:p>
    <w:p w:rsidR="00D8039E" w:rsidRPr="00ED67EC" w:rsidRDefault="00D8039E" w:rsidP="00D8039E">
      <w:pPr>
        <w:spacing w:before="130"/>
        <w:ind w:right="120"/>
        <w:jc w:val="both"/>
        <w:rPr>
          <w:rFonts w:ascii="Times New Roman" w:hAnsi="Times New Roman" w:cs="Times New Roman"/>
          <w:sz w:val="24"/>
          <w:szCs w:val="24"/>
        </w:rPr>
      </w:pPr>
      <w:r w:rsidRPr="00ED67EC">
        <w:rPr>
          <w:rFonts w:ascii="Times New Roman" w:hAnsi="Times New Roman" w:cs="Times New Roman"/>
          <w:sz w:val="24"/>
          <w:szCs w:val="24"/>
        </w:rPr>
        <w:t>Art</w:t>
      </w:r>
      <w:r w:rsidR="000D4A7B" w:rsidRPr="00ED67EC">
        <w:rPr>
          <w:rFonts w:ascii="Times New Roman" w:hAnsi="Times New Roman" w:cs="Times New Roman"/>
          <w:sz w:val="24"/>
          <w:szCs w:val="24"/>
        </w:rPr>
        <w:t>. 3º</w:t>
      </w:r>
      <w:r w:rsidRPr="00ED67EC">
        <w:rPr>
          <w:rFonts w:ascii="Times New Roman" w:hAnsi="Times New Roman" w:cs="Times New Roman"/>
          <w:sz w:val="24"/>
          <w:szCs w:val="24"/>
        </w:rPr>
        <w:t xml:space="preserve"> - São formas de benefícios eventuais: </w:t>
      </w:r>
    </w:p>
    <w:p w:rsidR="00D8039E" w:rsidRPr="00ED67EC" w:rsidRDefault="00D8039E" w:rsidP="00D8039E">
      <w:pPr>
        <w:numPr>
          <w:ilvl w:val="0"/>
          <w:numId w:val="3"/>
        </w:numPr>
        <w:spacing w:before="130" w:after="0" w:line="240" w:lineRule="auto"/>
        <w:ind w:right="120"/>
        <w:jc w:val="both"/>
        <w:rPr>
          <w:rFonts w:ascii="Times New Roman" w:hAnsi="Times New Roman" w:cs="Times New Roman"/>
          <w:sz w:val="24"/>
          <w:szCs w:val="24"/>
        </w:rPr>
      </w:pPr>
      <w:r w:rsidRPr="00ED67EC">
        <w:rPr>
          <w:rFonts w:ascii="Times New Roman" w:hAnsi="Times New Roman" w:cs="Times New Roman"/>
          <w:sz w:val="24"/>
          <w:szCs w:val="24"/>
        </w:rPr>
        <w:t>Benefício eventual prestado em virtude de nascimento;</w:t>
      </w:r>
    </w:p>
    <w:p w:rsidR="00D8039E" w:rsidRPr="00ED67EC" w:rsidRDefault="00D8039E" w:rsidP="00D8039E">
      <w:pPr>
        <w:numPr>
          <w:ilvl w:val="0"/>
          <w:numId w:val="3"/>
        </w:numPr>
        <w:spacing w:before="130" w:after="0" w:line="240" w:lineRule="auto"/>
        <w:ind w:right="120"/>
        <w:jc w:val="both"/>
        <w:rPr>
          <w:rFonts w:ascii="Times New Roman" w:hAnsi="Times New Roman" w:cs="Times New Roman"/>
          <w:sz w:val="24"/>
          <w:szCs w:val="24"/>
        </w:rPr>
      </w:pPr>
      <w:r w:rsidRPr="00ED67EC">
        <w:rPr>
          <w:rFonts w:ascii="Times New Roman" w:hAnsi="Times New Roman" w:cs="Times New Roman"/>
          <w:sz w:val="24"/>
          <w:szCs w:val="24"/>
        </w:rPr>
        <w:t>Benefício eventual prestado em virtude de morte de membro familiar;</w:t>
      </w:r>
    </w:p>
    <w:p w:rsidR="00D8039E" w:rsidRPr="00ED67EC" w:rsidRDefault="00D8039E" w:rsidP="00D8039E">
      <w:pPr>
        <w:numPr>
          <w:ilvl w:val="0"/>
          <w:numId w:val="3"/>
        </w:numPr>
        <w:spacing w:before="130" w:after="0" w:line="240" w:lineRule="auto"/>
        <w:ind w:right="120"/>
        <w:jc w:val="both"/>
        <w:rPr>
          <w:rFonts w:ascii="Times New Roman" w:hAnsi="Times New Roman" w:cs="Times New Roman"/>
          <w:sz w:val="24"/>
          <w:szCs w:val="24"/>
        </w:rPr>
      </w:pPr>
      <w:r w:rsidRPr="00ED67EC">
        <w:rPr>
          <w:rFonts w:ascii="Times New Roman" w:hAnsi="Times New Roman" w:cs="Times New Roman"/>
          <w:sz w:val="24"/>
          <w:szCs w:val="24"/>
        </w:rPr>
        <w:t>Benefício eventual prestado em virtude de vulnerabilidade temporária;</w:t>
      </w:r>
    </w:p>
    <w:p w:rsidR="00D8039E" w:rsidRPr="00ED67EC" w:rsidRDefault="00D8039E" w:rsidP="00D8039E">
      <w:pPr>
        <w:numPr>
          <w:ilvl w:val="0"/>
          <w:numId w:val="3"/>
        </w:numPr>
        <w:spacing w:before="130" w:after="0" w:line="240" w:lineRule="auto"/>
        <w:ind w:right="120"/>
        <w:jc w:val="both"/>
        <w:rPr>
          <w:rFonts w:ascii="Times New Roman" w:hAnsi="Times New Roman" w:cs="Times New Roman"/>
          <w:sz w:val="24"/>
          <w:szCs w:val="24"/>
        </w:rPr>
      </w:pPr>
      <w:r w:rsidRPr="00ED67EC">
        <w:rPr>
          <w:rFonts w:ascii="Times New Roman" w:hAnsi="Times New Roman" w:cs="Times New Roman"/>
          <w:sz w:val="24"/>
          <w:szCs w:val="24"/>
        </w:rPr>
        <w:t xml:space="preserve">Benefício eventual prestado em virtude de situação de emergência e/ou estado de calamidade pública. </w:t>
      </w:r>
    </w:p>
    <w:p w:rsidR="000D4A7B" w:rsidRPr="00ED67EC" w:rsidRDefault="000D4A7B" w:rsidP="000D4A7B">
      <w:pPr>
        <w:spacing w:before="130"/>
        <w:ind w:right="120"/>
        <w:jc w:val="both"/>
        <w:rPr>
          <w:rFonts w:ascii="Times New Roman" w:eastAsia="Times New Roman" w:hAnsi="Times New Roman" w:cs="Times New Roman"/>
          <w:color w:val="000000"/>
          <w:sz w:val="24"/>
          <w:szCs w:val="24"/>
          <w:lang w:eastAsia="pt-BR"/>
        </w:rPr>
      </w:pPr>
      <w:r w:rsidRPr="00ED67EC">
        <w:rPr>
          <w:rFonts w:ascii="Times New Roman" w:eastAsia="Times New Roman" w:hAnsi="Times New Roman" w:cs="Times New Roman"/>
          <w:color w:val="000000"/>
          <w:sz w:val="24"/>
          <w:szCs w:val="24"/>
          <w:lang w:eastAsia="pt-BR"/>
        </w:rPr>
        <w:t>Art. 4º - Ao Município compete:</w:t>
      </w:r>
    </w:p>
    <w:p w:rsidR="000D4A7B" w:rsidRDefault="000D4A7B" w:rsidP="000D4A7B">
      <w:pPr>
        <w:numPr>
          <w:ilvl w:val="0"/>
          <w:numId w:val="4"/>
        </w:numPr>
        <w:spacing w:before="130" w:after="0" w:line="240" w:lineRule="auto"/>
        <w:ind w:left="993" w:right="120" w:hanging="92"/>
        <w:jc w:val="both"/>
        <w:rPr>
          <w:rFonts w:ascii="Times New Roman" w:eastAsia="Times New Roman" w:hAnsi="Times New Roman" w:cs="Times New Roman"/>
          <w:color w:val="000000"/>
          <w:sz w:val="24"/>
          <w:szCs w:val="24"/>
          <w:lang w:eastAsia="pt-BR"/>
        </w:rPr>
      </w:pPr>
      <w:r w:rsidRPr="00ED67EC">
        <w:rPr>
          <w:rFonts w:ascii="Times New Roman" w:eastAsia="Times New Roman" w:hAnsi="Times New Roman" w:cs="Times New Roman"/>
          <w:color w:val="000000"/>
          <w:sz w:val="24"/>
          <w:szCs w:val="24"/>
          <w:lang w:eastAsia="pt-BR"/>
        </w:rPr>
        <w:t>A coordenação geral, a operacionalização, o acompanhamento, a avaliação da prestação dos benefícios eventuais, bem como o controle orçamentário do mesmo nos âmbitos municipal, estadual e federal; </w:t>
      </w:r>
    </w:p>
    <w:p w:rsidR="00E80FC0" w:rsidRPr="00ED67EC" w:rsidRDefault="00E80FC0" w:rsidP="000D4A7B">
      <w:pPr>
        <w:numPr>
          <w:ilvl w:val="0"/>
          <w:numId w:val="4"/>
        </w:numPr>
        <w:spacing w:before="130" w:after="0" w:line="240" w:lineRule="auto"/>
        <w:ind w:left="993" w:right="120" w:hanging="92"/>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 envio regular de relatório de prestação de contas de benefícios concedidos ao CMAS;</w:t>
      </w:r>
    </w:p>
    <w:p w:rsidR="000D4A7B" w:rsidRPr="00ED67EC" w:rsidRDefault="000D4A7B" w:rsidP="000D4A7B">
      <w:pPr>
        <w:numPr>
          <w:ilvl w:val="0"/>
          <w:numId w:val="4"/>
        </w:numPr>
        <w:spacing w:before="130" w:after="0" w:line="240" w:lineRule="auto"/>
        <w:ind w:left="993" w:right="120" w:hanging="92"/>
        <w:jc w:val="both"/>
        <w:rPr>
          <w:rFonts w:ascii="Times New Roman" w:eastAsia="Times New Roman" w:hAnsi="Times New Roman" w:cs="Times New Roman"/>
          <w:color w:val="000000"/>
          <w:sz w:val="24"/>
          <w:szCs w:val="24"/>
          <w:lang w:eastAsia="pt-BR"/>
        </w:rPr>
      </w:pPr>
      <w:r w:rsidRPr="00ED67EC">
        <w:rPr>
          <w:rFonts w:ascii="Times New Roman" w:eastAsia="Times New Roman" w:hAnsi="Times New Roman" w:cs="Times New Roman"/>
          <w:color w:val="000000"/>
          <w:sz w:val="24"/>
          <w:szCs w:val="24"/>
          <w:lang w:eastAsia="pt-BR"/>
        </w:rPr>
        <w:t>A realização de estudos da realidade e monitoramento da demanda para constante ampliação da concessão dos benefícios eventuais; e </w:t>
      </w:r>
    </w:p>
    <w:p w:rsidR="008820E9" w:rsidRDefault="000D4A7B" w:rsidP="000D4A7B">
      <w:pPr>
        <w:numPr>
          <w:ilvl w:val="0"/>
          <w:numId w:val="4"/>
        </w:numPr>
        <w:spacing w:before="130" w:after="0" w:line="240" w:lineRule="auto"/>
        <w:ind w:left="993" w:right="120" w:hanging="92"/>
        <w:jc w:val="both"/>
        <w:rPr>
          <w:rFonts w:ascii="Times New Roman" w:eastAsia="Times New Roman" w:hAnsi="Times New Roman" w:cs="Times New Roman"/>
          <w:color w:val="000000"/>
          <w:sz w:val="24"/>
          <w:szCs w:val="24"/>
          <w:lang w:eastAsia="pt-BR"/>
        </w:rPr>
      </w:pPr>
      <w:r w:rsidRPr="00ED67EC">
        <w:rPr>
          <w:rFonts w:ascii="Times New Roman" w:eastAsia="Times New Roman" w:hAnsi="Times New Roman" w:cs="Times New Roman"/>
          <w:color w:val="000000"/>
          <w:sz w:val="24"/>
          <w:szCs w:val="24"/>
          <w:lang w:eastAsia="pt-BR"/>
        </w:rPr>
        <w:t>Expedir as instruções e instituir formulários e modelos de documentos necessários à operacionalização dos benefícios</w:t>
      </w:r>
      <w:r w:rsidR="008820E9">
        <w:rPr>
          <w:rFonts w:ascii="Times New Roman" w:eastAsia="Times New Roman" w:hAnsi="Times New Roman" w:cs="Times New Roman"/>
          <w:color w:val="000000"/>
          <w:sz w:val="24"/>
          <w:szCs w:val="24"/>
          <w:lang w:eastAsia="pt-BR"/>
        </w:rPr>
        <w:t xml:space="preserve"> eventuais;</w:t>
      </w:r>
    </w:p>
    <w:p w:rsidR="000D4A7B" w:rsidRPr="0021559C" w:rsidRDefault="008820E9" w:rsidP="000D4A7B">
      <w:pPr>
        <w:numPr>
          <w:ilvl w:val="0"/>
          <w:numId w:val="4"/>
        </w:numPr>
        <w:spacing w:before="130" w:after="0" w:line="240" w:lineRule="auto"/>
        <w:ind w:left="993" w:right="120" w:hanging="92"/>
        <w:jc w:val="both"/>
        <w:rPr>
          <w:rFonts w:ascii="Times New Roman" w:eastAsia="Times New Roman" w:hAnsi="Times New Roman" w:cs="Times New Roman"/>
          <w:color w:val="000000"/>
          <w:sz w:val="24"/>
          <w:szCs w:val="24"/>
          <w:lang w:eastAsia="pt-BR"/>
        </w:rPr>
      </w:pPr>
      <w:r w:rsidRPr="0021559C">
        <w:rPr>
          <w:rFonts w:ascii="Times New Roman" w:eastAsia="Times New Roman" w:hAnsi="Times New Roman" w:cs="Times New Roman"/>
          <w:color w:val="000000"/>
          <w:sz w:val="24"/>
          <w:szCs w:val="24"/>
          <w:lang w:eastAsia="pt-BR"/>
        </w:rPr>
        <w:t>A elaboração</w:t>
      </w:r>
      <w:r w:rsidR="0084453F" w:rsidRPr="0021559C">
        <w:rPr>
          <w:rFonts w:ascii="Times New Roman" w:eastAsia="Times New Roman" w:hAnsi="Times New Roman" w:cs="Times New Roman"/>
          <w:color w:val="000000"/>
          <w:sz w:val="24"/>
          <w:szCs w:val="24"/>
          <w:lang w:eastAsia="pt-BR"/>
        </w:rPr>
        <w:t xml:space="preserve"> conjunta</w:t>
      </w:r>
      <w:r w:rsidRPr="0021559C">
        <w:rPr>
          <w:rFonts w:ascii="Times New Roman" w:eastAsia="Times New Roman" w:hAnsi="Times New Roman" w:cs="Times New Roman"/>
          <w:color w:val="000000"/>
          <w:sz w:val="24"/>
          <w:szCs w:val="24"/>
          <w:lang w:eastAsia="pt-BR"/>
        </w:rPr>
        <w:t xml:space="preserve">, </w:t>
      </w:r>
      <w:r w:rsidR="0021559C" w:rsidRPr="0021559C">
        <w:rPr>
          <w:rFonts w:ascii="Times New Roman" w:eastAsia="Times New Roman" w:hAnsi="Times New Roman" w:cs="Times New Roman"/>
          <w:color w:val="000000"/>
          <w:sz w:val="24"/>
          <w:szCs w:val="24"/>
          <w:lang w:eastAsia="pt-BR"/>
        </w:rPr>
        <w:t xml:space="preserve">de conselheiros do CMAS e </w:t>
      </w:r>
      <w:r w:rsidRPr="0021559C">
        <w:rPr>
          <w:rFonts w:ascii="Times New Roman" w:eastAsia="Times New Roman" w:hAnsi="Times New Roman" w:cs="Times New Roman"/>
          <w:color w:val="000000"/>
          <w:sz w:val="24"/>
          <w:szCs w:val="24"/>
          <w:lang w:eastAsia="pt-BR"/>
        </w:rPr>
        <w:t>equipe técnica da Secretaria Municipal da A</w:t>
      </w:r>
      <w:r w:rsidR="0021559C" w:rsidRPr="0021559C">
        <w:rPr>
          <w:rFonts w:ascii="Times New Roman" w:eastAsia="Times New Roman" w:hAnsi="Times New Roman" w:cs="Times New Roman"/>
          <w:color w:val="000000"/>
          <w:sz w:val="24"/>
          <w:szCs w:val="24"/>
          <w:lang w:eastAsia="pt-BR"/>
        </w:rPr>
        <w:t xml:space="preserve">ssistência Social e Cidadania, de critérios de concessão e </w:t>
      </w:r>
      <w:r w:rsidRPr="0021559C">
        <w:rPr>
          <w:rFonts w:ascii="Times New Roman" w:eastAsia="Times New Roman" w:hAnsi="Times New Roman" w:cs="Times New Roman"/>
          <w:color w:val="000000"/>
          <w:sz w:val="24"/>
          <w:szCs w:val="24"/>
          <w:lang w:eastAsia="pt-BR"/>
        </w:rPr>
        <w:t>a regulamentação dos benefícios eventuais.</w:t>
      </w:r>
      <w:r w:rsidR="000D4A7B" w:rsidRPr="0021559C">
        <w:rPr>
          <w:rFonts w:ascii="Times New Roman" w:eastAsia="Times New Roman" w:hAnsi="Times New Roman" w:cs="Times New Roman"/>
          <w:color w:val="000000"/>
          <w:sz w:val="24"/>
          <w:szCs w:val="24"/>
          <w:lang w:eastAsia="pt-BR"/>
        </w:rPr>
        <w:t> </w:t>
      </w:r>
    </w:p>
    <w:p w:rsidR="000D4A7B" w:rsidRPr="00ED67EC" w:rsidRDefault="000D4A7B" w:rsidP="000D4A7B">
      <w:pPr>
        <w:spacing w:before="130"/>
        <w:ind w:right="120"/>
        <w:jc w:val="both"/>
        <w:rPr>
          <w:rFonts w:ascii="Times New Roman" w:eastAsia="Times New Roman" w:hAnsi="Times New Roman" w:cs="Times New Roman"/>
          <w:b/>
          <w:color w:val="000000"/>
          <w:sz w:val="24"/>
          <w:szCs w:val="24"/>
          <w:lang w:eastAsia="pt-BR"/>
        </w:rPr>
      </w:pPr>
    </w:p>
    <w:p w:rsidR="000D4A7B" w:rsidRPr="00ED67EC" w:rsidRDefault="000D4A7B" w:rsidP="000D4A7B">
      <w:pPr>
        <w:spacing w:before="130"/>
        <w:ind w:right="120"/>
        <w:jc w:val="both"/>
        <w:rPr>
          <w:rFonts w:ascii="Times New Roman" w:eastAsia="Times New Roman" w:hAnsi="Times New Roman" w:cs="Times New Roman"/>
          <w:color w:val="000000"/>
          <w:sz w:val="24"/>
          <w:szCs w:val="24"/>
          <w:lang w:eastAsia="pt-BR"/>
        </w:rPr>
      </w:pPr>
      <w:r w:rsidRPr="00ED67EC">
        <w:rPr>
          <w:rFonts w:ascii="Times New Roman" w:eastAsia="Times New Roman" w:hAnsi="Times New Roman" w:cs="Times New Roman"/>
          <w:color w:val="000000"/>
          <w:sz w:val="24"/>
          <w:szCs w:val="24"/>
          <w:lang w:eastAsia="pt-BR"/>
        </w:rPr>
        <w:lastRenderedPageBreak/>
        <w:t>Art. 5º - Ao Conselho Municipal de Assistência Social compete:</w:t>
      </w:r>
    </w:p>
    <w:p w:rsidR="000D4A7B" w:rsidRPr="00ED67EC" w:rsidRDefault="000D4A7B" w:rsidP="000D4A7B">
      <w:pPr>
        <w:numPr>
          <w:ilvl w:val="0"/>
          <w:numId w:val="5"/>
        </w:numPr>
        <w:spacing w:before="130" w:after="0" w:line="240" w:lineRule="auto"/>
        <w:ind w:left="993" w:right="120" w:hanging="142"/>
        <w:jc w:val="both"/>
        <w:rPr>
          <w:rFonts w:ascii="Times New Roman" w:eastAsia="Times New Roman" w:hAnsi="Times New Roman" w:cs="Times New Roman"/>
          <w:color w:val="000000"/>
          <w:sz w:val="24"/>
          <w:szCs w:val="24"/>
          <w:lang w:eastAsia="pt-BR"/>
        </w:rPr>
      </w:pPr>
      <w:r w:rsidRPr="00ED67EC">
        <w:rPr>
          <w:rFonts w:ascii="Times New Roman" w:eastAsia="Times New Roman" w:hAnsi="Times New Roman" w:cs="Times New Roman"/>
          <w:color w:val="000000"/>
          <w:sz w:val="24"/>
          <w:szCs w:val="24"/>
          <w:lang w:eastAsia="pt-BR"/>
        </w:rPr>
        <w:t>A fiscalização</w:t>
      </w:r>
      <w:r w:rsidR="00E80FC0">
        <w:rPr>
          <w:rFonts w:ascii="Times New Roman" w:eastAsia="Times New Roman" w:hAnsi="Times New Roman" w:cs="Times New Roman"/>
          <w:color w:val="000000"/>
          <w:sz w:val="24"/>
          <w:szCs w:val="24"/>
          <w:lang w:eastAsia="pt-BR"/>
        </w:rPr>
        <w:t xml:space="preserve"> regular</w:t>
      </w:r>
      <w:r w:rsidRPr="00ED67EC">
        <w:rPr>
          <w:rFonts w:ascii="Times New Roman" w:eastAsia="Times New Roman" w:hAnsi="Times New Roman" w:cs="Times New Roman"/>
          <w:color w:val="000000"/>
          <w:sz w:val="24"/>
          <w:szCs w:val="24"/>
          <w:lang w:eastAsia="pt-BR"/>
        </w:rPr>
        <w:t xml:space="preserve"> da aplicação e da eficiência dos recursos destinados aos benefícios eventuais; </w:t>
      </w:r>
    </w:p>
    <w:p w:rsidR="000D4A7B" w:rsidRPr="0021559C" w:rsidRDefault="000D4A7B" w:rsidP="000D4A7B">
      <w:pPr>
        <w:numPr>
          <w:ilvl w:val="0"/>
          <w:numId w:val="5"/>
        </w:numPr>
        <w:spacing w:before="130" w:after="0" w:line="240" w:lineRule="auto"/>
        <w:ind w:left="993" w:right="120" w:hanging="142"/>
        <w:jc w:val="both"/>
        <w:rPr>
          <w:rFonts w:ascii="Times New Roman" w:eastAsia="Times New Roman" w:hAnsi="Times New Roman" w:cs="Times New Roman"/>
          <w:color w:val="000000"/>
          <w:sz w:val="24"/>
          <w:szCs w:val="24"/>
          <w:lang w:eastAsia="pt-BR"/>
        </w:rPr>
      </w:pPr>
      <w:r w:rsidRPr="0021559C">
        <w:rPr>
          <w:rFonts w:ascii="Times New Roman" w:eastAsia="Times New Roman" w:hAnsi="Times New Roman" w:cs="Times New Roman"/>
          <w:color w:val="000000"/>
          <w:sz w:val="24"/>
          <w:szCs w:val="24"/>
          <w:lang w:eastAsia="pt-BR"/>
        </w:rPr>
        <w:t xml:space="preserve">A aprovação da regulamentação da concessão dos Benefícios Eventuais; </w:t>
      </w:r>
    </w:p>
    <w:p w:rsidR="000D4A7B" w:rsidRPr="00ED67EC" w:rsidRDefault="000D4A7B" w:rsidP="000D4A7B">
      <w:pPr>
        <w:numPr>
          <w:ilvl w:val="0"/>
          <w:numId w:val="5"/>
        </w:numPr>
        <w:spacing w:before="130" w:after="0" w:line="240" w:lineRule="auto"/>
        <w:ind w:left="993" w:right="120" w:hanging="142"/>
        <w:jc w:val="both"/>
        <w:rPr>
          <w:rFonts w:ascii="Times New Roman" w:eastAsia="Times New Roman" w:hAnsi="Times New Roman" w:cs="Times New Roman"/>
          <w:color w:val="000000"/>
          <w:sz w:val="24"/>
          <w:szCs w:val="24"/>
          <w:lang w:eastAsia="pt-BR"/>
        </w:rPr>
      </w:pPr>
      <w:r w:rsidRPr="00ED67EC">
        <w:rPr>
          <w:rFonts w:ascii="Times New Roman" w:eastAsia="Times New Roman" w:hAnsi="Times New Roman" w:cs="Times New Roman"/>
          <w:color w:val="000000"/>
          <w:sz w:val="24"/>
          <w:szCs w:val="24"/>
          <w:lang w:eastAsia="pt-BR"/>
        </w:rPr>
        <w:t>A propositura, sempre que necessário, de revisão da concessão e dos valores dos benefícios eventuais.</w:t>
      </w:r>
      <w:bookmarkStart w:id="0" w:name="_GoBack"/>
      <w:bookmarkEnd w:id="0"/>
    </w:p>
    <w:p w:rsidR="00B97DA7" w:rsidRPr="00ED67EC" w:rsidRDefault="00B97DA7" w:rsidP="00B97DA7">
      <w:pPr>
        <w:spacing w:before="130" w:after="0" w:line="240" w:lineRule="auto"/>
        <w:ind w:left="851" w:right="120"/>
        <w:jc w:val="both"/>
        <w:rPr>
          <w:rFonts w:ascii="Times New Roman" w:eastAsia="Times New Roman" w:hAnsi="Times New Roman" w:cs="Times New Roman"/>
          <w:color w:val="000000"/>
          <w:sz w:val="24"/>
          <w:szCs w:val="24"/>
          <w:lang w:eastAsia="pt-BR"/>
        </w:rPr>
      </w:pPr>
    </w:p>
    <w:p w:rsidR="00792A1A" w:rsidRPr="00ED67EC" w:rsidRDefault="0045069F" w:rsidP="00764D39">
      <w:pPr>
        <w:spacing w:line="240" w:lineRule="auto"/>
        <w:jc w:val="both"/>
        <w:rPr>
          <w:rFonts w:ascii="Times New Roman" w:hAnsi="Times New Roman" w:cs="Times New Roman"/>
          <w:sz w:val="24"/>
          <w:szCs w:val="24"/>
        </w:rPr>
      </w:pPr>
      <w:r w:rsidRPr="00ED67EC">
        <w:rPr>
          <w:rFonts w:ascii="Times New Roman" w:eastAsia="Times New Roman" w:hAnsi="Times New Roman" w:cs="Times New Roman"/>
          <w:color w:val="000000"/>
          <w:sz w:val="24"/>
          <w:szCs w:val="24"/>
          <w:lang w:eastAsia="pt-BR"/>
        </w:rPr>
        <w:t xml:space="preserve">Art. 6º </w:t>
      </w:r>
      <w:r w:rsidR="005C5F6B" w:rsidRPr="00ED67EC">
        <w:rPr>
          <w:rFonts w:ascii="Times New Roman" w:hAnsi="Times New Roman" w:cs="Times New Roman"/>
          <w:sz w:val="24"/>
          <w:szCs w:val="24"/>
        </w:rPr>
        <w:t>-</w:t>
      </w:r>
      <w:r w:rsidR="00621141" w:rsidRPr="00ED67EC">
        <w:rPr>
          <w:rFonts w:ascii="Times New Roman" w:hAnsi="Times New Roman" w:cs="Times New Roman"/>
          <w:sz w:val="24"/>
          <w:szCs w:val="24"/>
        </w:rPr>
        <w:t xml:space="preserve"> </w:t>
      </w:r>
      <w:r w:rsidR="00792A1A" w:rsidRPr="00ED67EC">
        <w:rPr>
          <w:rFonts w:ascii="Times New Roman" w:hAnsi="Times New Roman" w:cs="Times New Roman"/>
          <w:sz w:val="24"/>
          <w:szCs w:val="24"/>
        </w:rPr>
        <w:t xml:space="preserve"> Esta Resolução entrará em vigor </w:t>
      </w:r>
      <w:r w:rsidR="000D4A7B" w:rsidRPr="00ED67EC">
        <w:rPr>
          <w:rFonts w:ascii="Times New Roman" w:hAnsi="Times New Roman" w:cs="Times New Roman"/>
          <w:sz w:val="24"/>
          <w:szCs w:val="24"/>
        </w:rPr>
        <w:t>a partir da data de</w:t>
      </w:r>
      <w:r w:rsidR="00792A1A" w:rsidRPr="00ED67EC">
        <w:rPr>
          <w:rFonts w:ascii="Times New Roman" w:hAnsi="Times New Roman" w:cs="Times New Roman"/>
          <w:sz w:val="24"/>
          <w:szCs w:val="24"/>
        </w:rPr>
        <w:t xml:space="preserve"> sua publicação, revogando-se as disposições administrativas em contrário.</w:t>
      </w:r>
    </w:p>
    <w:p w:rsidR="00B97DA7" w:rsidRPr="00ED67EC" w:rsidRDefault="00B97DA7" w:rsidP="00764D39">
      <w:pPr>
        <w:spacing w:line="240" w:lineRule="auto"/>
        <w:jc w:val="right"/>
        <w:rPr>
          <w:rFonts w:ascii="Times New Roman" w:hAnsi="Times New Roman" w:cs="Times New Roman"/>
          <w:sz w:val="24"/>
          <w:szCs w:val="24"/>
        </w:rPr>
      </w:pPr>
    </w:p>
    <w:p w:rsidR="00792A1A" w:rsidRPr="00ED67EC" w:rsidRDefault="0045069F" w:rsidP="0021559C">
      <w:pPr>
        <w:spacing w:line="240" w:lineRule="auto"/>
        <w:ind w:left="4956"/>
        <w:rPr>
          <w:rFonts w:ascii="Times New Roman" w:hAnsi="Times New Roman" w:cs="Times New Roman"/>
          <w:sz w:val="24"/>
          <w:szCs w:val="24"/>
        </w:rPr>
      </w:pPr>
      <w:r w:rsidRPr="00ED67EC">
        <w:rPr>
          <w:rFonts w:ascii="Times New Roman" w:hAnsi="Times New Roman" w:cs="Times New Roman"/>
          <w:sz w:val="24"/>
          <w:szCs w:val="24"/>
        </w:rPr>
        <w:t>Batatais, 19 de maio de 2020.</w:t>
      </w:r>
    </w:p>
    <w:p w:rsidR="00B97DA7" w:rsidRDefault="00B97DA7" w:rsidP="00B97DA7">
      <w:pPr>
        <w:spacing w:line="240" w:lineRule="auto"/>
        <w:rPr>
          <w:rFonts w:ascii="Times New Roman" w:hAnsi="Times New Roman" w:cs="Times New Roman"/>
          <w:sz w:val="24"/>
          <w:szCs w:val="24"/>
        </w:rPr>
      </w:pPr>
    </w:p>
    <w:p w:rsidR="0021559C" w:rsidRDefault="0021559C" w:rsidP="00B97DA7">
      <w:pPr>
        <w:spacing w:line="240" w:lineRule="auto"/>
        <w:rPr>
          <w:rFonts w:ascii="Times New Roman" w:hAnsi="Times New Roman" w:cs="Times New Roman"/>
          <w:sz w:val="24"/>
          <w:szCs w:val="24"/>
        </w:rPr>
      </w:pPr>
    </w:p>
    <w:p w:rsidR="0021559C" w:rsidRPr="00ED67EC" w:rsidRDefault="0021559C" w:rsidP="00B97DA7">
      <w:pPr>
        <w:spacing w:line="240" w:lineRule="auto"/>
        <w:rPr>
          <w:rFonts w:ascii="Times New Roman" w:hAnsi="Times New Roman" w:cs="Times New Roman"/>
          <w:sz w:val="24"/>
          <w:szCs w:val="24"/>
        </w:rPr>
      </w:pPr>
    </w:p>
    <w:p w:rsidR="00B97DA7" w:rsidRPr="00ED67EC" w:rsidRDefault="00B97DA7" w:rsidP="0021559C">
      <w:pPr>
        <w:spacing w:after="0" w:line="240" w:lineRule="auto"/>
        <w:jc w:val="center"/>
        <w:rPr>
          <w:rFonts w:ascii="Times New Roman" w:hAnsi="Times New Roman" w:cs="Times New Roman"/>
          <w:sz w:val="24"/>
          <w:szCs w:val="24"/>
        </w:rPr>
      </w:pPr>
      <w:r w:rsidRPr="00ED67EC">
        <w:rPr>
          <w:rFonts w:ascii="Times New Roman" w:hAnsi="Times New Roman" w:cs="Times New Roman"/>
          <w:sz w:val="24"/>
          <w:szCs w:val="24"/>
        </w:rPr>
        <w:t xml:space="preserve">Elisa Maria </w:t>
      </w:r>
      <w:proofErr w:type="spellStart"/>
      <w:r w:rsidRPr="00ED67EC">
        <w:rPr>
          <w:rFonts w:ascii="Times New Roman" w:hAnsi="Times New Roman" w:cs="Times New Roman"/>
          <w:sz w:val="24"/>
          <w:szCs w:val="24"/>
        </w:rPr>
        <w:t>Rinhel</w:t>
      </w:r>
      <w:proofErr w:type="spellEnd"/>
      <w:r w:rsidRPr="00ED67EC">
        <w:rPr>
          <w:rFonts w:ascii="Times New Roman" w:hAnsi="Times New Roman" w:cs="Times New Roman"/>
          <w:sz w:val="24"/>
          <w:szCs w:val="24"/>
        </w:rPr>
        <w:t xml:space="preserve"> Oliveira</w:t>
      </w:r>
    </w:p>
    <w:p w:rsidR="00B97DA7" w:rsidRPr="00ED67EC" w:rsidRDefault="006575B8" w:rsidP="002155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Presidente I</w:t>
      </w:r>
      <w:r w:rsidR="00B97DA7" w:rsidRPr="00ED67EC">
        <w:rPr>
          <w:rFonts w:ascii="Times New Roman" w:hAnsi="Times New Roman" w:cs="Times New Roman"/>
          <w:sz w:val="24"/>
          <w:szCs w:val="24"/>
        </w:rPr>
        <w:t>nterina – CMAS Batatais</w:t>
      </w:r>
    </w:p>
    <w:p w:rsidR="0045069F" w:rsidRPr="00ED67EC" w:rsidRDefault="0045069F" w:rsidP="00764D39">
      <w:pPr>
        <w:spacing w:line="240" w:lineRule="auto"/>
        <w:jc w:val="right"/>
        <w:rPr>
          <w:rFonts w:ascii="Times New Roman" w:hAnsi="Times New Roman" w:cs="Times New Roman"/>
          <w:sz w:val="24"/>
          <w:szCs w:val="24"/>
        </w:rPr>
      </w:pPr>
    </w:p>
    <w:p w:rsidR="00792A1A" w:rsidRPr="00ED67EC" w:rsidRDefault="00792A1A" w:rsidP="00764D39">
      <w:pPr>
        <w:spacing w:line="240" w:lineRule="auto"/>
        <w:jc w:val="both"/>
        <w:rPr>
          <w:rFonts w:ascii="Times New Roman" w:hAnsi="Times New Roman" w:cs="Times New Roman"/>
          <w:sz w:val="24"/>
          <w:szCs w:val="24"/>
        </w:rPr>
      </w:pPr>
    </w:p>
    <w:p w:rsidR="00621141" w:rsidRPr="00ED67EC" w:rsidRDefault="00621141" w:rsidP="00764D39">
      <w:pPr>
        <w:spacing w:line="240" w:lineRule="auto"/>
        <w:jc w:val="both"/>
        <w:rPr>
          <w:rFonts w:ascii="Times New Roman" w:hAnsi="Times New Roman" w:cs="Times New Roman"/>
          <w:sz w:val="24"/>
          <w:szCs w:val="24"/>
        </w:rPr>
      </w:pPr>
    </w:p>
    <w:p w:rsidR="00621141" w:rsidRPr="00ED67EC" w:rsidRDefault="00621141" w:rsidP="00764D39">
      <w:pPr>
        <w:spacing w:line="240" w:lineRule="auto"/>
        <w:jc w:val="both"/>
        <w:rPr>
          <w:rFonts w:ascii="Times New Roman" w:hAnsi="Times New Roman" w:cs="Times New Roman"/>
          <w:sz w:val="24"/>
          <w:szCs w:val="24"/>
        </w:rPr>
      </w:pPr>
    </w:p>
    <w:p w:rsidR="00792A1A" w:rsidRPr="00ED67EC" w:rsidRDefault="00BC08C8" w:rsidP="0045069F">
      <w:pPr>
        <w:spacing w:line="240" w:lineRule="auto"/>
        <w:jc w:val="both"/>
        <w:rPr>
          <w:rFonts w:ascii="Times New Roman" w:hAnsi="Times New Roman" w:cs="Times New Roman"/>
          <w:sz w:val="24"/>
          <w:szCs w:val="24"/>
        </w:rPr>
      </w:pPr>
      <w:r w:rsidRPr="00ED67EC">
        <w:rPr>
          <w:rFonts w:ascii="Times New Roman" w:hAnsi="Times New Roman" w:cs="Times New Roman"/>
          <w:sz w:val="24"/>
          <w:szCs w:val="24"/>
        </w:rPr>
        <w:t xml:space="preserve">      </w:t>
      </w:r>
    </w:p>
    <w:sectPr w:rsidR="00792A1A" w:rsidRPr="00ED67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473C6"/>
    <w:multiLevelType w:val="hybridMultilevel"/>
    <w:tmpl w:val="A85AF2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9B4DF4"/>
    <w:multiLevelType w:val="hybridMultilevel"/>
    <w:tmpl w:val="78B4FD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201C69"/>
    <w:multiLevelType w:val="hybridMultilevel"/>
    <w:tmpl w:val="F80ED99C"/>
    <w:lvl w:ilvl="0" w:tplc="4D4E19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06E2B37"/>
    <w:multiLevelType w:val="hybridMultilevel"/>
    <w:tmpl w:val="4FA6FE2E"/>
    <w:lvl w:ilvl="0" w:tplc="04160013">
      <w:start w:val="1"/>
      <w:numFmt w:val="upperRoman"/>
      <w:lvlText w:val="%1."/>
      <w:lvlJc w:val="right"/>
      <w:pPr>
        <w:ind w:left="2424" w:hanging="360"/>
      </w:pPr>
    </w:lvl>
    <w:lvl w:ilvl="1" w:tplc="04160019" w:tentative="1">
      <w:start w:val="1"/>
      <w:numFmt w:val="lowerLetter"/>
      <w:lvlText w:val="%2."/>
      <w:lvlJc w:val="left"/>
      <w:pPr>
        <w:ind w:left="3144" w:hanging="360"/>
      </w:pPr>
    </w:lvl>
    <w:lvl w:ilvl="2" w:tplc="0416001B" w:tentative="1">
      <w:start w:val="1"/>
      <w:numFmt w:val="lowerRoman"/>
      <w:lvlText w:val="%3."/>
      <w:lvlJc w:val="right"/>
      <w:pPr>
        <w:ind w:left="3864" w:hanging="180"/>
      </w:pPr>
    </w:lvl>
    <w:lvl w:ilvl="3" w:tplc="0416000F" w:tentative="1">
      <w:start w:val="1"/>
      <w:numFmt w:val="decimal"/>
      <w:lvlText w:val="%4."/>
      <w:lvlJc w:val="left"/>
      <w:pPr>
        <w:ind w:left="4584" w:hanging="360"/>
      </w:pPr>
    </w:lvl>
    <w:lvl w:ilvl="4" w:tplc="04160019" w:tentative="1">
      <w:start w:val="1"/>
      <w:numFmt w:val="lowerLetter"/>
      <w:lvlText w:val="%5."/>
      <w:lvlJc w:val="left"/>
      <w:pPr>
        <w:ind w:left="5304" w:hanging="360"/>
      </w:pPr>
    </w:lvl>
    <w:lvl w:ilvl="5" w:tplc="0416001B" w:tentative="1">
      <w:start w:val="1"/>
      <w:numFmt w:val="lowerRoman"/>
      <w:lvlText w:val="%6."/>
      <w:lvlJc w:val="right"/>
      <w:pPr>
        <w:ind w:left="6024" w:hanging="180"/>
      </w:pPr>
    </w:lvl>
    <w:lvl w:ilvl="6" w:tplc="0416000F" w:tentative="1">
      <w:start w:val="1"/>
      <w:numFmt w:val="decimal"/>
      <w:lvlText w:val="%7."/>
      <w:lvlJc w:val="left"/>
      <w:pPr>
        <w:ind w:left="6744" w:hanging="360"/>
      </w:pPr>
    </w:lvl>
    <w:lvl w:ilvl="7" w:tplc="04160019" w:tentative="1">
      <w:start w:val="1"/>
      <w:numFmt w:val="lowerLetter"/>
      <w:lvlText w:val="%8."/>
      <w:lvlJc w:val="left"/>
      <w:pPr>
        <w:ind w:left="7464" w:hanging="360"/>
      </w:pPr>
    </w:lvl>
    <w:lvl w:ilvl="8" w:tplc="0416001B" w:tentative="1">
      <w:start w:val="1"/>
      <w:numFmt w:val="lowerRoman"/>
      <w:lvlText w:val="%9."/>
      <w:lvlJc w:val="right"/>
      <w:pPr>
        <w:ind w:left="8184" w:hanging="180"/>
      </w:pPr>
    </w:lvl>
  </w:abstractNum>
  <w:abstractNum w:abstractNumId="4" w15:restartNumberingAfterBreak="0">
    <w:nsid w:val="4B03038C"/>
    <w:multiLevelType w:val="hybridMultilevel"/>
    <w:tmpl w:val="B49A1CFE"/>
    <w:lvl w:ilvl="0" w:tplc="04160013">
      <w:start w:val="1"/>
      <w:numFmt w:val="upperRoman"/>
      <w:lvlText w:val="%1."/>
      <w:lvlJc w:val="right"/>
      <w:pPr>
        <w:ind w:left="2395" w:hanging="360"/>
      </w:pPr>
    </w:lvl>
    <w:lvl w:ilvl="1" w:tplc="04160019" w:tentative="1">
      <w:start w:val="1"/>
      <w:numFmt w:val="lowerLetter"/>
      <w:lvlText w:val="%2."/>
      <w:lvlJc w:val="left"/>
      <w:pPr>
        <w:ind w:left="3115" w:hanging="360"/>
      </w:pPr>
    </w:lvl>
    <w:lvl w:ilvl="2" w:tplc="0416001B" w:tentative="1">
      <w:start w:val="1"/>
      <w:numFmt w:val="lowerRoman"/>
      <w:lvlText w:val="%3."/>
      <w:lvlJc w:val="right"/>
      <w:pPr>
        <w:ind w:left="3835" w:hanging="180"/>
      </w:pPr>
    </w:lvl>
    <w:lvl w:ilvl="3" w:tplc="0416000F" w:tentative="1">
      <w:start w:val="1"/>
      <w:numFmt w:val="decimal"/>
      <w:lvlText w:val="%4."/>
      <w:lvlJc w:val="left"/>
      <w:pPr>
        <w:ind w:left="4555" w:hanging="360"/>
      </w:pPr>
    </w:lvl>
    <w:lvl w:ilvl="4" w:tplc="04160019" w:tentative="1">
      <w:start w:val="1"/>
      <w:numFmt w:val="lowerLetter"/>
      <w:lvlText w:val="%5."/>
      <w:lvlJc w:val="left"/>
      <w:pPr>
        <w:ind w:left="5275" w:hanging="360"/>
      </w:pPr>
    </w:lvl>
    <w:lvl w:ilvl="5" w:tplc="0416001B" w:tentative="1">
      <w:start w:val="1"/>
      <w:numFmt w:val="lowerRoman"/>
      <w:lvlText w:val="%6."/>
      <w:lvlJc w:val="right"/>
      <w:pPr>
        <w:ind w:left="5995" w:hanging="180"/>
      </w:pPr>
    </w:lvl>
    <w:lvl w:ilvl="6" w:tplc="0416000F" w:tentative="1">
      <w:start w:val="1"/>
      <w:numFmt w:val="decimal"/>
      <w:lvlText w:val="%7."/>
      <w:lvlJc w:val="left"/>
      <w:pPr>
        <w:ind w:left="6715" w:hanging="360"/>
      </w:pPr>
    </w:lvl>
    <w:lvl w:ilvl="7" w:tplc="04160019" w:tentative="1">
      <w:start w:val="1"/>
      <w:numFmt w:val="lowerLetter"/>
      <w:lvlText w:val="%8."/>
      <w:lvlJc w:val="left"/>
      <w:pPr>
        <w:ind w:left="7435" w:hanging="360"/>
      </w:pPr>
    </w:lvl>
    <w:lvl w:ilvl="8" w:tplc="0416001B" w:tentative="1">
      <w:start w:val="1"/>
      <w:numFmt w:val="lowerRoman"/>
      <w:lvlText w:val="%9."/>
      <w:lvlJc w:val="right"/>
      <w:pPr>
        <w:ind w:left="8155"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C06"/>
    <w:rsid w:val="000D4A7B"/>
    <w:rsid w:val="001076FB"/>
    <w:rsid w:val="0015692F"/>
    <w:rsid w:val="001B075F"/>
    <w:rsid w:val="001D0221"/>
    <w:rsid w:val="001D6774"/>
    <w:rsid w:val="0021559C"/>
    <w:rsid w:val="00237769"/>
    <w:rsid w:val="00294B77"/>
    <w:rsid w:val="00297D6D"/>
    <w:rsid w:val="00375BAF"/>
    <w:rsid w:val="003C112C"/>
    <w:rsid w:val="0045069F"/>
    <w:rsid w:val="00583159"/>
    <w:rsid w:val="00584392"/>
    <w:rsid w:val="005C5F6B"/>
    <w:rsid w:val="00621141"/>
    <w:rsid w:val="00652C32"/>
    <w:rsid w:val="006575B8"/>
    <w:rsid w:val="006A3E96"/>
    <w:rsid w:val="00764D39"/>
    <w:rsid w:val="00792A1A"/>
    <w:rsid w:val="007F6D0B"/>
    <w:rsid w:val="0084453F"/>
    <w:rsid w:val="008820E9"/>
    <w:rsid w:val="0090258A"/>
    <w:rsid w:val="00990E36"/>
    <w:rsid w:val="00997C06"/>
    <w:rsid w:val="00AA6011"/>
    <w:rsid w:val="00AE0BA8"/>
    <w:rsid w:val="00B97DA7"/>
    <w:rsid w:val="00BC08C8"/>
    <w:rsid w:val="00BF78E1"/>
    <w:rsid w:val="00CB54C9"/>
    <w:rsid w:val="00D21B54"/>
    <w:rsid w:val="00D8039E"/>
    <w:rsid w:val="00D96AD6"/>
    <w:rsid w:val="00DA0AD9"/>
    <w:rsid w:val="00DA7A18"/>
    <w:rsid w:val="00E80FC0"/>
    <w:rsid w:val="00ED67EC"/>
    <w:rsid w:val="00EE2743"/>
    <w:rsid w:val="00F25971"/>
    <w:rsid w:val="00F262FB"/>
    <w:rsid w:val="00F61575"/>
    <w:rsid w:val="00F652BA"/>
    <w:rsid w:val="00FE7A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0504"/>
  <w15:docId w15:val="{90E68155-B44B-4CC0-92EB-5D45F721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A0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818</Words>
  <Characters>4420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Batatais</dc:creator>
  <cp:lastModifiedBy>Usuário do Windows</cp:lastModifiedBy>
  <cp:revision>9</cp:revision>
  <dcterms:created xsi:type="dcterms:W3CDTF">2020-05-19T16:40:00Z</dcterms:created>
  <dcterms:modified xsi:type="dcterms:W3CDTF">2020-05-19T18:30:00Z</dcterms:modified>
</cp:coreProperties>
</file>